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41A1C">
      <w:pPr>
        <w:widowControl/>
        <w:spacing w:line="600" w:lineRule="exact"/>
        <w:jc w:val="left"/>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6</w:t>
      </w:r>
    </w:p>
    <w:p w14:paraId="4FF2A454">
      <w:pPr>
        <w:widowControl/>
        <w:spacing w:line="360" w:lineRule="auto"/>
        <w:jc w:val="center"/>
        <w:rPr>
          <w:rFonts w:ascii="黑体" w:hAnsi="黑体" w:eastAsia="黑体" w:cs="Times New Roman"/>
          <w:kern w:val="0"/>
          <w:sz w:val="36"/>
          <w:szCs w:val="36"/>
        </w:rPr>
      </w:pPr>
    </w:p>
    <w:p w14:paraId="12623AF4">
      <w:pPr>
        <w:spacing w:line="7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河南省建筑装饰装修行业省级工法管理办法</w:t>
      </w:r>
    </w:p>
    <w:p w14:paraId="36C0FB81">
      <w:pPr>
        <w:spacing w:line="7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（试行）</w:t>
      </w:r>
    </w:p>
    <w:p w14:paraId="7C50B92E">
      <w:pPr>
        <w:spacing w:line="500" w:lineRule="exact"/>
        <w:jc w:val="center"/>
        <w:rPr>
          <w:rFonts w:ascii="黑体" w:hAnsi="黑体" w:eastAsia="黑体" w:cs="Times New Roman"/>
          <w:sz w:val="32"/>
          <w:szCs w:val="32"/>
        </w:rPr>
      </w:pPr>
    </w:p>
    <w:p w14:paraId="724B488F">
      <w:pPr>
        <w:spacing w:line="640" w:lineRule="exact"/>
        <w:jc w:val="center"/>
        <w:rPr>
          <w:rFonts w:ascii="黑体" w:hAnsi="黑体" w:eastAsia="黑体" w:cs="Times New Roman"/>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14:paraId="333209CD">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第一条</w:t>
      </w:r>
      <w:r>
        <w:rPr>
          <w:rFonts w:ascii="仿宋" w:hAnsi="仿宋" w:eastAsia="仿宋" w:cs="仿宋"/>
          <w:kern w:val="0"/>
          <w:sz w:val="32"/>
          <w:szCs w:val="32"/>
        </w:rPr>
        <w:t xml:space="preserve">  </w:t>
      </w:r>
      <w:r>
        <w:rPr>
          <w:rFonts w:hint="eastAsia" w:ascii="仿宋" w:hAnsi="仿宋" w:eastAsia="仿宋" w:cs="仿宋"/>
          <w:kern w:val="0"/>
          <w:sz w:val="32"/>
          <w:szCs w:val="32"/>
        </w:rPr>
        <w:t>为鼓励全省建筑装饰装修企业转型发展，加快施工技术自主创新，促进新技术、新材料、新工艺和新设备在工程中的推广应用，提升建筑装饰装修施工技术水平，加强和规范工法管理，根据住房和城乡建设部《工程建设工法管理办法》（建质〔</w:t>
      </w:r>
      <w:r>
        <w:rPr>
          <w:rFonts w:ascii="仿宋" w:hAnsi="仿宋" w:eastAsia="仿宋" w:cs="仿宋"/>
          <w:kern w:val="0"/>
          <w:sz w:val="32"/>
          <w:szCs w:val="32"/>
        </w:rPr>
        <w:t>2014</w:t>
      </w:r>
      <w:r>
        <w:rPr>
          <w:rFonts w:hint="eastAsia" w:ascii="仿宋" w:hAnsi="仿宋" w:eastAsia="仿宋" w:cs="仿宋"/>
          <w:kern w:val="0"/>
          <w:sz w:val="32"/>
          <w:szCs w:val="32"/>
        </w:rPr>
        <w:t>〕</w:t>
      </w:r>
      <w:r>
        <w:rPr>
          <w:rFonts w:ascii="仿宋" w:hAnsi="仿宋" w:eastAsia="仿宋" w:cs="仿宋"/>
          <w:kern w:val="0"/>
          <w:sz w:val="32"/>
          <w:szCs w:val="32"/>
        </w:rPr>
        <w:t>103</w:t>
      </w:r>
      <w:r>
        <w:rPr>
          <w:rFonts w:hint="eastAsia" w:ascii="仿宋" w:hAnsi="仿宋" w:eastAsia="仿宋" w:cs="仿宋"/>
          <w:kern w:val="0"/>
          <w:sz w:val="32"/>
          <w:szCs w:val="32"/>
        </w:rPr>
        <w:t>号），结合全省装饰行业发展实际情况，制定本办法。</w:t>
      </w:r>
    </w:p>
    <w:p w14:paraId="32CBF8DF">
      <w:pPr>
        <w:spacing w:line="640" w:lineRule="exact"/>
        <w:ind w:firstLine="643" w:firstLineChars="200"/>
        <w:jc w:val="left"/>
        <w:rPr>
          <w:rFonts w:hint="default" w:ascii="仿宋" w:hAnsi="仿宋" w:eastAsia="仿宋" w:cs="Times New Roman"/>
          <w:kern w:val="0"/>
          <w:sz w:val="32"/>
          <w:szCs w:val="32"/>
          <w:lang w:val="en-US"/>
        </w:rPr>
      </w:pPr>
      <w:r>
        <w:rPr>
          <w:rFonts w:hint="eastAsia" w:ascii="仿宋" w:hAnsi="仿宋" w:eastAsia="仿宋" w:cs="仿宋"/>
          <w:b/>
          <w:bCs/>
          <w:kern w:val="0"/>
          <w:sz w:val="32"/>
          <w:szCs w:val="32"/>
        </w:rPr>
        <w:t>第二条</w:t>
      </w:r>
      <w:r>
        <w:rPr>
          <w:rFonts w:ascii="仿宋" w:hAnsi="仿宋" w:eastAsia="仿宋" w:cs="Times New Roman"/>
          <w:kern w:val="0"/>
          <w:sz w:val="32"/>
          <w:szCs w:val="32"/>
        </w:rPr>
        <w:t> </w:t>
      </w:r>
      <w:r>
        <w:rPr>
          <w:rFonts w:hint="eastAsia" w:ascii="仿宋" w:hAnsi="仿宋" w:eastAsia="仿宋" w:cs="仿宋"/>
          <w:kern w:val="0"/>
          <w:sz w:val="32"/>
          <w:szCs w:val="32"/>
        </w:rPr>
        <w:t>本办法适用于河南省建筑装饰装修省级工法的开发、申报、评审和成果管理。</w:t>
      </w:r>
    </w:p>
    <w:p w14:paraId="17B71CCE">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第三条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本办法所称的工法，是指以建筑装饰工程为对象，以工艺为核心，运用系统工程原理，把先进技术和科学管理结合起来，经过一定工程实践形成的综合配套的施工方法。</w:t>
      </w:r>
    </w:p>
    <w:p w14:paraId="109E4663">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第四条</w:t>
      </w:r>
      <w:r>
        <w:rPr>
          <w:rFonts w:ascii="仿宋" w:hAnsi="仿宋" w:eastAsia="仿宋" w:cs="仿宋"/>
          <w:b/>
          <w:bCs/>
          <w:kern w:val="0"/>
          <w:sz w:val="32"/>
          <w:szCs w:val="32"/>
        </w:rPr>
        <w:t xml:space="preserve">  </w:t>
      </w:r>
      <w:r>
        <w:rPr>
          <w:rFonts w:hint="eastAsia" w:ascii="仿宋" w:hAnsi="仿宋" w:eastAsia="仿宋" w:cs="仿宋"/>
          <w:kern w:val="0"/>
          <w:sz w:val="32"/>
          <w:szCs w:val="32"/>
        </w:rPr>
        <w:t>工法分为企业级、省（部）级和国家级，实施分级管理。</w:t>
      </w:r>
    </w:p>
    <w:p w14:paraId="10D51E52">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企业级工法由建筑施工企业（以下简称企业）根据承建工程的重点、难点、特点、企业科技研究和市场需求开发，通过工程实际应用，由企业组织评审和公布。</w:t>
      </w:r>
    </w:p>
    <w:p w14:paraId="3C697B39">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省级工法，由企业自愿申报，经河南省建筑装饰装修协会组织评审和公布的工法。</w:t>
      </w:r>
    </w:p>
    <w:p w14:paraId="35B496E5">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国家级工法，由企业自愿申报，经省级工法主管部门推荐，由住房和城乡建设部组织评审和公布的工法。</w:t>
      </w:r>
    </w:p>
    <w:p w14:paraId="5FD59715">
      <w:pPr>
        <w:spacing w:line="640" w:lineRule="exact"/>
        <w:jc w:val="center"/>
        <w:rPr>
          <w:rFonts w:ascii="黑体" w:hAnsi="黑体" w:eastAsia="黑体" w:cs="Times New Roman"/>
          <w:sz w:val="32"/>
          <w:szCs w:val="32"/>
        </w:rPr>
      </w:pPr>
    </w:p>
    <w:p w14:paraId="6DAFA093">
      <w:pPr>
        <w:spacing w:line="640" w:lineRule="exact"/>
        <w:jc w:val="center"/>
        <w:rPr>
          <w:rFonts w:ascii="黑体" w:hAnsi="黑体" w:eastAsia="黑体" w:cs="Times New Roman"/>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基本规定</w:t>
      </w:r>
    </w:p>
    <w:p w14:paraId="2F9ECC23">
      <w:pPr>
        <w:spacing w:line="640" w:lineRule="exact"/>
        <w:ind w:firstLine="643" w:firstLineChars="200"/>
        <w:rPr>
          <w:rFonts w:ascii="仿宋" w:hAnsi="仿宋" w:eastAsia="仿宋" w:cs="Times New Roman"/>
          <w:b/>
          <w:bCs/>
          <w:kern w:val="0"/>
          <w:sz w:val="32"/>
          <w:szCs w:val="32"/>
        </w:rPr>
      </w:pPr>
      <w:r>
        <w:rPr>
          <w:rFonts w:hint="eastAsia" w:ascii="仿宋" w:hAnsi="仿宋" w:eastAsia="仿宋" w:cs="仿宋"/>
          <w:b/>
          <w:bCs/>
          <w:kern w:val="0"/>
          <w:sz w:val="32"/>
          <w:szCs w:val="32"/>
        </w:rPr>
        <w:t>第五条</w:t>
      </w:r>
      <w:r>
        <w:rPr>
          <w:rFonts w:ascii="仿宋" w:hAnsi="仿宋" w:eastAsia="仿宋" w:cs="仿宋"/>
          <w:b/>
          <w:bCs/>
          <w:kern w:val="0"/>
          <w:sz w:val="32"/>
          <w:szCs w:val="32"/>
        </w:rPr>
        <w:t xml:space="preserve">  </w:t>
      </w:r>
      <w:r>
        <w:rPr>
          <w:rFonts w:hint="eastAsia" w:ascii="仿宋" w:hAnsi="仿宋" w:eastAsia="仿宋" w:cs="仿宋"/>
          <w:kern w:val="0"/>
          <w:sz w:val="32"/>
          <w:szCs w:val="32"/>
        </w:rPr>
        <w:t>工法必须符合国家工程建设的方针、政策和标准，以施工工艺为核心，具有先进性、科学性和适用性，能保证工程质量安全、提高施工效率和综合效益，符合绿色建筑和绿色施工等要求。</w:t>
      </w:r>
    </w:p>
    <w:p w14:paraId="0513FC5C">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第六条</w:t>
      </w:r>
      <w:r>
        <w:rPr>
          <w:rFonts w:ascii="仿宋" w:hAnsi="仿宋" w:eastAsia="仿宋" w:cs="仿宋"/>
          <w:b/>
          <w:bCs/>
          <w:kern w:val="0"/>
          <w:sz w:val="32"/>
          <w:szCs w:val="32"/>
        </w:rPr>
        <w:t xml:space="preserve">  </w:t>
      </w:r>
      <w:r>
        <w:rPr>
          <w:rFonts w:hint="eastAsia" w:ascii="仿宋" w:hAnsi="仿宋" w:eastAsia="仿宋" w:cs="仿宋"/>
          <w:kern w:val="0"/>
          <w:sz w:val="32"/>
          <w:szCs w:val="32"/>
        </w:rPr>
        <w:t>本会会员企业均可申报河南省建筑装饰装修行业省级工法。每项省级工法主要完成单位不超过两家，主要完成人员合计不超过</w:t>
      </w:r>
      <w:r>
        <w:rPr>
          <w:rFonts w:ascii="仿宋" w:hAnsi="仿宋" w:eastAsia="仿宋" w:cs="仿宋"/>
          <w:kern w:val="0"/>
          <w:sz w:val="32"/>
          <w:szCs w:val="32"/>
        </w:rPr>
        <w:t>5</w:t>
      </w:r>
      <w:r>
        <w:rPr>
          <w:rFonts w:hint="eastAsia" w:ascii="仿宋" w:hAnsi="仿宋" w:eastAsia="仿宋" w:cs="仿宋"/>
          <w:kern w:val="0"/>
          <w:sz w:val="32"/>
          <w:szCs w:val="32"/>
        </w:rPr>
        <w:t>人，申报企业应是开发应用工法的主要完成单位。推荐申报国家级工法的省级工法，应满足国家级工法申报要求。</w:t>
      </w:r>
    </w:p>
    <w:p w14:paraId="53E65E7E">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第七条</w:t>
      </w:r>
      <w:r>
        <w:rPr>
          <w:rFonts w:ascii="仿宋" w:hAnsi="仿宋" w:eastAsia="仿宋" w:cs="Times New Roman"/>
          <w:kern w:val="0"/>
          <w:sz w:val="32"/>
          <w:szCs w:val="32"/>
        </w:rPr>
        <w:t> </w:t>
      </w:r>
      <w:r>
        <w:rPr>
          <w:rFonts w:hint="eastAsia" w:ascii="仿宋" w:hAnsi="仿宋" w:eastAsia="仿宋" w:cs="仿宋"/>
          <w:kern w:val="0"/>
          <w:sz w:val="32"/>
          <w:szCs w:val="32"/>
        </w:rPr>
        <w:t>申报省级工法应满足以下条件</w:t>
      </w:r>
      <w:r>
        <w:rPr>
          <w:rFonts w:hint="eastAsia" w:ascii="仿宋" w:hAnsi="仿宋" w:eastAsia="仿宋" w:cs="仿宋"/>
          <w:kern w:val="0"/>
          <w:sz w:val="32"/>
          <w:szCs w:val="32"/>
          <w:lang w:eastAsia="zh-CN"/>
        </w:rPr>
        <w:t>：</w:t>
      </w:r>
    </w:p>
    <w:p w14:paraId="53335C16">
      <w:pPr>
        <w:spacing w:line="6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（一）已公布为企业级工法</w:t>
      </w:r>
      <w:r>
        <w:rPr>
          <w:rFonts w:hint="eastAsia" w:ascii="仿宋" w:hAnsi="仿宋" w:eastAsia="仿宋" w:cs="仿宋"/>
          <w:kern w:val="0"/>
          <w:sz w:val="32"/>
          <w:szCs w:val="32"/>
          <w:lang w:eastAsia="zh-CN"/>
        </w:rPr>
        <w:t>；</w:t>
      </w:r>
    </w:p>
    <w:p w14:paraId="70276990">
      <w:pPr>
        <w:spacing w:line="6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（二）工法的关键性技术经有关部门认可的第三方评价机构评价达到省内领先及以上水平</w:t>
      </w:r>
      <w:r>
        <w:rPr>
          <w:rFonts w:hint="eastAsia" w:ascii="仿宋" w:hAnsi="仿宋" w:eastAsia="仿宋" w:cs="仿宋"/>
          <w:kern w:val="0"/>
          <w:sz w:val="32"/>
          <w:szCs w:val="32"/>
          <w:lang w:eastAsia="zh-CN"/>
        </w:rPr>
        <w:t>；</w:t>
      </w:r>
    </w:p>
    <w:p w14:paraId="44409418">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（三）工法经过至少</w:t>
      </w:r>
      <w:r>
        <w:rPr>
          <w:rFonts w:ascii="仿宋" w:hAnsi="仿宋" w:eastAsia="仿宋" w:cs="仿宋"/>
          <w:kern w:val="0"/>
          <w:sz w:val="32"/>
          <w:szCs w:val="32"/>
        </w:rPr>
        <w:t>1</w:t>
      </w:r>
      <w:r>
        <w:rPr>
          <w:rFonts w:hint="eastAsia" w:ascii="仿宋" w:hAnsi="仿宋" w:eastAsia="仿宋" w:cs="仿宋"/>
          <w:kern w:val="0"/>
          <w:sz w:val="32"/>
          <w:szCs w:val="32"/>
        </w:rPr>
        <w:t>项工程实践应用，安全可靠，具有较高推广应用价值，经济效益和社会效益显著；</w:t>
      </w:r>
    </w:p>
    <w:p w14:paraId="2BF788C4">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（四）工法符合国家及全省有关要求和工程建设强制性标准，能有效保证工程质量和安全，能有效提高施工效率和综合效益的成熟技术，符合国家建筑技术发展方向和绿色建筑、绿色施工等要求</w:t>
      </w:r>
      <w:r>
        <w:rPr>
          <w:rFonts w:hint="eastAsia" w:ascii="仿宋" w:hAnsi="仿宋" w:eastAsia="仿宋" w:cs="仿宋"/>
          <w:sz w:val="32"/>
          <w:szCs w:val="32"/>
          <w:lang w:eastAsia="zh-CN"/>
        </w:rPr>
        <w:t>；</w:t>
      </w:r>
    </w:p>
    <w:p w14:paraId="07AA1F72">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（五）工法编写内容齐全完整，包括前言、特点、适用范围、工艺原理、工艺流程及操作要点、材料与设备、质量控制、安全措施、环保措施、效益分析和应用实例</w:t>
      </w:r>
      <w:r>
        <w:rPr>
          <w:rFonts w:hint="eastAsia" w:ascii="仿宋" w:hAnsi="仿宋" w:eastAsia="仿宋" w:cs="仿宋"/>
          <w:sz w:val="32"/>
          <w:szCs w:val="32"/>
          <w:lang w:eastAsia="zh-CN"/>
        </w:rPr>
        <w:t>；</w:t>
      </w:r>
    </w:p>
    <w:p w14:paraId="4F0EDAC9">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（六）工法内容不得与已公布的有效期内的国家级、省级工法雷同。</w:t>
      </w:r>
    </w:p>
    <w:p w14:paraId="03D5900D">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第八条</w:t>
      </w:r>
      <w:r>
        <w:rPr>
          <w:rFonts w:ascii="仿宋" w:hAnsi="仿宋" w:eastAsia="仿宋" w:cs="仿宋"/>
          <w:b/>
          <w:bCs/>
          <w:kern w:val="0"/>
          <w:sz w:val="32"/>
          <w:szCs w:val="32"/>
        </w:rPr>
        <w:t xml:space="preserve"> </w:t>
      </w:r>
      <w:r>
        <w:rPr>
          <w:rFonts w:ascii="仿宋" w:hAnsi="仿宋" w:eastAsia="仿宋" w:cs="仿宋"/>
          <w:kern w:val="0"/>
          <w:sz w:val="32"/>
          <w:szCs w:val="32"/>
        </w:rPr>
        <w:t xml:space="preserve"> </w:t>
      </w:r>
      <w:r>
        <w:rPr>
          <w:rFonts w:hint="eastAsia" w:ascii="仿宋" w:hAnsi="仿宋" w:eastAsia="仿宋" w:cs="仿宋"/>
          <w:kern w:val="0"/>
          <w:sz w:val="32"/>
          <w:szCs w:val="32"/>
        </w:rPr>
        <w:t>会员单位申报的工法，其实践应用工程项目至少一个在本省。</w:t>
      </w:r>
    </w:p>
    <w:p w14:paraId="740EF017">
      <w:pPr>
        <w:spacing w:line="640" w:lineRule="exact"/>
        <w:jc w:val="center"/>
        <w:rPr>
          <w:rFonts w:ascii="黑体" w:hAnsi="黑体" w:eastAsia="黑体" w:cs="Times New Roman"/>
          <w:sz w:val="32"/>
          <w:szCs w:val="32"/>
        </w:rPr>
      </w:pPr>
    </w:p>
    <w:p w14:paraId="42B73764">
      <w:pPr>
        <w:spacing w:line="640" w:lineRule="exact"/>
        <w:jc w:val="center"/>
        <w:rPr>
          <w:rFonts w:ascii="黑体" w:hAnsi="黑体" w:eastAsia="黑体" w:cs="Times New Roman"/>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申报与评审</w:t>
      </w:r>
    </w:p>
    <w:p w14:paraId="410533AB">
      <w:pPr>
        <w:spacing w:line="640" w:lineRule="exact"/>
        <w:ind w:firstLine="643" w:firstLineChars="200"/>
        <w:jc w:val="left"/>
        <w:rPr>
          <w:rFonts w:ascii="仿宋" w:hAnsi="仿宋" w:eastAsia="仿宋" w:cs="Times New Roman"/>
          <w:color w:val="FF0000"/>
          <w:kern w:val="0"/>
          <w:sz w:val="32"/>
          <w:szCs w:val="32"/>
        </w:rPr>
      </w:pPr>
      <w:r>
        <w:rPr>
          <w:rFonts w:hint="eastAsia" w:ascii="仿宋" w:hAnsi="仿宋" w:eastAsia="仿宋" w:cs="仿宋"/>
          <w:b/>
          <w:bCs/>
          <w:kern w:val="0"/>
          <w:sz w:val="32"/>
          <w:szCs w:val="32"/>
        </w:rPr>
        <w:t>第九条</w:t>
      </w:r>
      <w:r>
        <w:rPr>
          <w:rFonts w:ascii="仿宋" w:hAnsi="仿宋" w:eastAsia="仿宋" w:cs="仿宋"/>
          <w:color w:val="FF0000"/>
          <w:sz w:val="32"/>
          <w:szCs w:val="32"/>
        </w:rPr>
        <w:t xml:space="preserve">  </w:t>
      </w:r>
      <w:r>
        <w:rPr>
          <w:rFonts w:hint="eastAsia" w:ascii="仿宋" w:hAnsi="仿宋" w:eastAsia="仿宋" w:cs="仿宋"/>
          <w:kern w:val="0"/>
          <w:sz w:val="32"/>
          <w:szCs w:val="32"/>
        </w:rPr>
        <w:t>河南省建筑装饰装修协会定期组织省级工法评审。</w:t>
      </w:r>
    </w:p>
    <w:p w14:paraId="0AC5E4B0">
      <w:pPr>
        <w:spacing w:line="640" w:lineRule="exact"/>
        <w:ind w:firstLine="643" w:firstLineChars="200"/>
        <w:jc w:val="left"/>
        <w:rPr>
          <w:rFonts w:ascii="仿宋" w:hAnsi="仿宋" w:eastAsia="仿宋" w:cs="Times New Roman"/>
          <w:b/>
          <w:bCs/>
          <w:kern w:val="0"/>
          <w:sz w:val="32"/>
          <w:szCs w:val="32"/>
        </w:rPr>
      </w:pPr>
      <w:r>
        <w:rPr>
          <w:rFonts w:hint="eastAsia" w:ascii="仿宋" w:hAnsi="仿宋" w:eastAsia="仿宋" w:cs="仿宋"/>
          <w:b/>
          <w:bCs/>
          <w:kern w:val="0"/>
          <w:sz w:val="32"/>
          <w:szCs w:val="32"/>
        </w:rPr>
        <w:t>第十条</w:t>
      </w:r>
      <w:r>
        <w:rPr>
          <w:rFonts w:ascii="仿宋" w:hAnsi="仿宋" w:eastAsia="仿宋" w:cs="仿宋"/>
          <w:b/>
          <w:bCs/>
          <w:kern w:val="0"/>
          <w:sz w:val="32"/>
          <w:szCs w:val="32"/>
        </w:rPr>
        <w:t xml:space="preserve">  </w:t>
      </w:r>
      <w:r>
        <w:rPr>
          <w:rFonts w:hint="eastAsia" w:ascii="仿宋" w:hAnsi="仿宋" w:eastAsia="仿宋" w:cs="仿宋"/>
          <w:kern w:val="0"/>
          <w:sz w:val="32"/>
          <w:szCs w:val="32"/>
        </w:rPr>
        <w:t>工法申报材料应包括下列主要内容：</w:t>
      </w:r>
    </w:p>
    <w:p w14:paraId="595218F8">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（一）河南省建筑装饰装修省级工法申报表；</w:t>
      </w:r>
    </w:p>
    <w:p w14:paraId="0D8D2BBE">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（二）工法文本；</w:t>
      </w:r>
    </w:p>
    <w:p w14:paraId="60F092BA">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（三）企业级工法批准文件、工法证书（复印件加盖印章）；</w:t>
      </w:r>
    </w:p>
    <w:p w14:paraId="4757DC17">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（四）建设单位或监理单位出具的工程应用证明原件，施工许可证或开工报告和工程施工合同关键条款复印件；</w:t>
      </w:r>
    </w:p>
    <w:p w14:paraId="6078D7F0">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（五）经济效益证明；</w:t>
      </w:r>
    </w:p>
    <w:p w14:paraId="52D133F2">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（六）工法应用的有关照片或视频资料；</w:t>
      </w:r>
    </w:p>
    <w:p w14:paraId="68E94778">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（七）涉及他方专利的无争议声明书；</w:t>
      </w:r>
    </w:p>
    <w:p w14:paraId="3ECA3391">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（八）科技查新报告、技术标准、专利证书、科技成果获奖证明等其他有关材料，纸质材料统一采用</w:t>
      </w:r>
      <w:r>
        <w:rPr>
          <w:rFonts w:ascii="仿宋" w:hAnsi="仿宋" w:eastAsia="仿宋" w:cs="仿宋"/>
          <w:kern w:val="0"/>
          <w:sz w:val="32"/>
          <w:szCs w:val="32"/>
        </w:rPr>
        <w:t>A4</w:t>
      </w:r>
      <w:r>
        <w:rPr>
          <w:rFonts w:hint="eastAsia" w:ascii="仿宋" w:hAnsi="仿宋" w:eastAsia="仿宋" w:cs="仿宋"/>
          <w:kern w:val="0"/>
          <w:sz w:val="32"/>
          <w:szCs w:val="32"/>
        </w:rPr>
        <w:t>纸张，按申报材料目录顺序装订成册，一式</w:t>
      </w:r>
      <w:r>
        <w:rPr>
          <w:rFonts w:ascii="仿宋" w:hAnsi="仿宋" w:eastAsia="仿宋" w:cs="仿宋"/>
          <w:kern w:val="0"/>
          <w:sz w:val="32"/>
          <w:szCs w:val="32"/>
        </w:rPr>
        <w:t>2</w:t>
      </w:r>
      <w:r>
        <w:rPr>
          <w:rFonts w:hint="eastAsia" w:ascii="仿宋" w:hAnsi="仿宋" w:eastAsia="仿宋" w:cs="仿宋"/>
          <w:kern w:val="0"/>
          <w:sz w:val="32"/>
          <w:szCs w:val="32"/>
        </w:rPr>
        <w:t>份（证明材料的原件放正本、复印件放副本）同时提供电子版（优盘）。</w:t>
      </w:r>
    </w:p>
    <w:p w14:paraId="1966C3CC">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第十一条</w:t>
      </w:r>
      <w:r>
        <w:rPr>
          <w:rFonts w:ascii="仿宋" w:hAnsi="仿宋" w:eastAsia="仿宋" w:cs="仿宋"/>
          <w:b/>
          <w:bCs/>
          <w:kern w:val="0"/>
          <w:sz w:val="32"/>
          <w:szCs w:val="32"/>
        </w:rPr>
        <w:t xml:space="preserve">  </w:t>
      </w:r>
      <w:r>
        <w:rPr>
          <w:rFonts w:hint="eastAsia" w:ascii="仿宋" w:hAnsi="仿宋" w:eastAsia="仿宋" w:cs="仿宋"/>
          <w:kern w:val="0"/>
          <w:sz w:val="32"/>
          <w:szCs w:val="32"/>
        </w:rPr>
        <w:t>省级工法评审分为形式审查、专业评审、评委会审核三个阶段。采用会议评审方式。</w:t>
      </w:r>
    </w:p>
    <w:p w14:paraId="7D985D82">
      <w:pPr>
        <w:spacing w:line="64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（一）形式审查。对申报资料完整性、符合性进行审查，符合申报条件的列入专业组审查</w:t>
      </w:r>
      <w:r>
        <w:rPr>
          <w:rFonts w:hint="eastAsia" w:ascii="仿宋" w:hAnsi="仿宋" w:eastAsia="仿宋" w:cs="仿宋"/>
          <w:kern w:val="0"/>
          <w:sz w:val="32"/>
          <w:szCs w:val="32"/>
          <w:lang w:eastAsia="zh-CN"/>
        </w:rPr>
        <w:t>，</w:t>
      </w:r>
    </w:p>
    <w:p w14:paraId="529662E9">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（二）专业评审。对通过形式审查的工法按专业分组，评审专家对工法的关键技术水平、工艺流程和操作要点的科学性、合理性、安全可靠性、推广应用价值、文本编制等进行评审，评审结果提交评委会审核。</w:t>
      </w:r>
      <w:r>
        <w:rPr>
          <w:rFonts w:ascii="仿宋" w:hAnsi="仿宋" w:eastAsia="仿宋" w:cs="Times New Roman"/>
          <w:kern w:val="0"/>
          <w:sz w:val="32"/>
          <w:szCs w:val="32"/>
        </w:rPr>
        <w:t>  </w:t>
      </w:r>
    </w:p>
    <w:p w14:paraId="194DE2E5">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三）评委会审核。评审专家应为河南省建筑装饰装饰行业专家库成员，如有需求，经协会专家委员会同意，对一些代表性的项目可邀请国内权威专家担任评审专家。对于省级工法评审，专家进行实名投票表决，有效票数达到三分之二及以上的通过审核。</w:t>
      </w:r>
    </w:p>
    <w:p w14:paraId="6FD920E6">
      <w:pPr>
        <w:spacing w:line="640" w:lineRule="exact"/>
        <w:ind w:firstLine="643" w:firstLineChars="200"/>
        <w:rPr>
          <w:rFonts w:ascii="仿宋" w:hAnsi="仿宋" w:eastAsia="仿宋" w:cs="Times New Roman"/>
          <w:kern w:val="0"/>
          <w:sz w:val="32"/>
          <w:szCs w:val="32"/>
        </w:rPr>
      </w:pPr>
      <w:r>
        <w:rPr>
          <w:rFonts w:hint="eastAsia" w:ascii="仿宋" w:hAnsi="仿宋" w:eastAsia="仿宋" w:cs="仿宋"/>
          <w:b/>
          <w:bCs/>
          <w:kern w:val="0"/>
          <w:sz w:val="32"/>
          <w:szCs w:val="32"/>
        </w:rPr>
        <w:t>第十二条</w:t>
      </w:r>
      <w:r>
        <w:rPr>
          <w:rFonts w:ascii="仿宋" w:hAnsi="仿宋" w:eastAsia="仿宋" w:cs="仿宋"/>
          <w:b/>
          <w:bCs/>
          <w:kern w:val="0"/>
          <w:sz w:val="32"/>
          <w:szCs w:val="32"/>
        </w:rPr>
        <w:t xml:space="preserve"> </w:t>
      </w:r>
      <w:r>
        <w:rPr>
          <w:rFonts w:ascii="仿宋" w:hAnsi="仿宋" w:eastAsia="仿宋" w:cs="仿宋"/>
          <w:kern w:val="0"/>
          <w:sz w:val="32"/>
          <w:szCs w:val="32"/>
        </w:rPr>
        <w:t xml:space="preserve"> </w:t>
      </w:r>
      <w:r>
        <w:rPr>
          <w:rFonts w:hint="eastAsia" w:ascii="仿宋" w:hAnsi="仿宋" w:eastAsia="仿宋" w:cs="仿宋"/>
          <w:kern w:val="0"/>
          <w:sz w:val="32"/>
          <w:szCs w:val="32"/>
        </w:rPr>
        <w:t>河南省建筑装饰装修协会负责建立省级工法评审专家库，评审专家从专家库中选取。专家应具有高级及以上专业技术职称，有丰富的施工实践经验和坚实的专业基础理论知识，年龄不超过</w:t>
      </w:r>
      <w:r>
        <w:rPr>
          <w:rFonts w:ascii="仿宋" w:hAnsi="仿宋" w:eastAsia="仿宋" w:cs="仿宋"/>
          <w:kern w:val="0"/>
          <w:sz w:val="32"/>
          <w:szCs w:val="32"/>
        </w:rPr>
        <w:t>70</w:t>
      </w:r>
      <w:r>
        <w:rPr>
          <w:rFonts w:hint="eastAsia" w:ascii="仿宋" w:hAnsi="仿宋" w:eastAsia="仿宋" w:cs="仿宋"/>
          <w:kern w:val="0"/>
          <w:sz w:val="32"/>
          <w:szCs w:val="32"/>
        </w:rPr>
        <w:t>周岁。</w:t>
      </w:r>
    </w:p>
    <w:p w14:paraId="348FCBBF">
      <w:pPr>
        <w:spacing w:line="6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担任过大型施工企业技术负责人或大型项目技术负责人的优先选任。</w:t>
      </w:r>
    </w:p>
    <w:p w14:paraId="24D8E716">
      <w:pPr>
        <w:spacing w:line="640" w:lineRule="exact"/>
        <w:ind w:firstLine="643" w:firstLineChars="200"/>
        <w:jc w:val="left"/>
        <w:rPr>
          <w:rFonts w:ascii="仿宋" w:hAnsi="仿宋" w:eastAsia="仿宋" w:cs="仿宋"/>
          <w:kern w:val="0"/>
          <w:sz w:val="32"/>
          <w:szCs w:val="32"/>
        </w:rPr>
      </w:pPr>
      <w:r>
        <w:rPr>
          <w:rFonts w:hint="eastAsia" w:ascii="仿宋" w:hAnsi="仿宋" w:eastAsia="仿宋" w:cs="仿宋"/>
          <w:b/>
          <w:bCs/>
          <w:kern w:val="0"/>
          <w:sz w:val="32"/>
          <w:szCs w:val="32"/>
        </w:rPr>
        <w:t>第十三条</w:t>
      </w:r>
      <w:r>
        <w:rPr>
          <w:rFonts w:ascii="仿宋" w:hAnsi="仿宋" w:eastAsia="仿宋" w:cs="仿宋"/>
          <w:kern w:val="0"/>
          <w:sz w:val="32"/>
          <w:szCs w:val="32"/>
        </w:rPr>
        <w:t xml:space="preserve">  </w:t>
      </w:r>
      <w:r>
        <w:rPr>
          <w:rFonts w:hint="eastAsia" w:ascii="仿宋" w:hAnsi="仿宋" w:eastAsia="仿宋" w:cs="仿宋"/>
          <w:kern w:val="0"/>
          <w:sz w:val="32"/>
          <w:szCs w:val="32"/>
        </w:rPr>
        <w:t>省级工法的评审应当遵守以下规定</w:t>
      </w:r>
      <w:r>
        <w:rPr>
          <w:rFonts w:hint="eastAsia" w:ascii="仿宋" w:hAnsi="仿宋" w:eastAsia="仿宋" w:cs="仿宋"/>
          <w:kern w:val="0"/>
          <w:sz w:val="32"/>
          <w:szCs w:val="32"/>
          <w:lang w:eastAsia="zh-CN"/>
        </w:rPr>
        <w:t>：</w:t>
      </w:r>
    </w:p>
    <w:p w14:paraId="35239AE5">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（一）坚持评审标准，做到廉洁、公正、公平、公开。</w:t>
      </w:r>
    </w:p>
    <w:p w14:paraId="73FC1826">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（二）评审专家应对所提出的评审意见负责，确保工法评审的严肃性、科学性。</w:t>
      </w:r>
    </w:p>
    <w:p w14:paraId="0990B3E1">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（三）评审专家应为工法申报单位保守工法的技术秘密。</w:t>
      </w:r>
    </w:p>
    <w:p w14:paraId="3918FED7">
      <w:pPr>
        <w:spacing w:line="640" w:lineRule="exact"/>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（四）实行回避制度，专家与评审项目有利益关系，可能会妨碍公正评审的，应当回避。</w:t>
      </w:r>
    </w:p>
    <w:p w14:paraId="0C486DC0">
      <w:pPr>
        <w:spacing w:line="640" w:lineRule="exact"/>
        <w:ind w:firstLine="643" w:firstLineChars="200"/>
        <w:rPr>
          <w:rFonts w:ascii="仿宋" w:hAnsi="仿宋" w:eastAsia="仿宋" w:cs="Times New Roman"/>
          <w:kern w:val="0"/>
          <w:sz w:val="32"/>
          <w:szCs w:val="32"/>
        </w:rPr>
      </w:pPr>
      <w:r>
        <w:rPr>
          <w:rFonts w:hint="eastAsia" w:ascii="仿宋" w:hAnsi="仿宋" w:eastAsia="仿宋" w:cs="仿宋"/>
          <w:b/>
          <w:bCs/>
          <w:kern w:val="0"/>
          <w:sz w:val="32"/>
          <w:szCs w:val="32"/>
        </w:rPr>
        <w:t>第十四条</w:t>
      </w:r>
      <w:r>
        <w:rPr>
          <w:rFonts w:ascii="仿宋" w:hAnsi="仿宋" w:eastAsia="仿宋" w:cs="仿宋"/>
          <w:kern w:val="0"/>
          <w:sz w:val="32"/>
          <w:szCs w:val="32"/>
        </w:rPr>
        <w:t xml:space="preserve">  </w:t>
      </w:r>
      <w:r>
        <w:rPr>
          <w:rFonts w:hint="eastAsia" w:ascii="仿宋" w:hAnsi="仿宋" w:eastAsia="仿宋" w:cs="仿宋"/>
          <w:kern w:val="0"/>
          <w:sz w:val="32"/>
          <w:szCs w:val="32"/>
        </w:rPr>
        <w:t>河南省建筑装饰装修协会对评审通过的省级工法进行公示，公示时间不少于</w:t>
      </w:r>
      <w:r>
        <w:rPr>
          <w:rFonts w:ascii="仿宋" w:hAnsi="仿宋" w:eastAsia="仿宋" w:cs="仿宋"/>
          <w:kern w:val="0"/>
          <w:sz w:val="32"/>
          <w:szCs w:val="32"/>
        </w:rPr>
        <w:t>7</w:t>
      </w:r>
      <w:r>
        <w:rPr>
          <w:rFonts w:hint="eastAsia" w:ascii="仿宋" w:hAnsi="仿宋" w:eastAsia="仿宋" w:cs="仿宋"/>
          <w:kern w:val="0"/>
          <w:sz w:val="32"/>
          <w:szCs w:val="32"/>
        </w:rPr>
        <w:t>个工作日，公示无异议后予以公布。河南省建筑装饰装修协会向工法申请完成人颁发证书。</w:t>
      </w:r>
    </w:p>
    <w:p w14:paraId="773F03BC">
      <w:pPr>
        <w:spacing w:line="640" w:lineRule="exact"/>
        <w:jc w:val="center"/>
        <w:rPr>
          <w:rFonts w:ascii="黑体" w:hAnsi="黑体" w:eastAsia="黑体" w:cs="Times New Roman"/>
          <w:sz w:val="32"/>
          <w:szCs w:val="32"/>
        </w:rPr>
      </w:pPr>
    </w:p>
    <w:p w14:paraId="0D76342D">
      <w:pPr>
        <w:spacing w:line="640" w:lineRule="exact"/>
        <w:jc w:val="center"/>
        <w:rPr>
          <w:rFonts w:ascii="黑体" w:hAnsi="黑体" w:eastAsia="黑体" w:cs="Times New Roman"/>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成果管理</w:t>
      </w:r>
    </w:p>
    <w:p w14:paraId="0775301A">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第十五条</w:t>
      </w:r>
      <w:r>
        <w:rPr>
          <w:rFonts w:ascii="仿宋" w:hAnsi="仿宋" w:eastAsia="仿宋" w:cs="仿宋"/>
          <w:b/>
          <w:bCs/>
          <w:kern w:val="0"/>
          <w:sz w:val="32"/>
          <w:szCs w:val="32"/>
        </w:rPr>
        <w:t xml:space="preserve">  </w:t>
      </w:r>
      <w:r>
        <w:rPr>
          <w:rFonts w:hint="eastAsia" w:ascii="仿宋" w:hAnsi="仿宋" w:eastAsia="仿宋" w:cs="仿宋"/>
          <w:kern w:val="0"/>
          <w:sz w:val="32"/>
          <w:szCs w:val="32"/>
        </w:rPr>
        <w:t>省级工法有效期为</w:t>
      </w:r>
      <w:r>
        <w:rPr>
          <w:rFonts w:ascii="仿宋" w:hAnsi="仿宋" w:eastAsia="仿宋" w:cs="仿宋"/>
          <w:kern w:val="0"/>
          <w:sz w:val="32"/>
          <w:szCs w:val="32"/>
        </w:rPr>
        <w:t>8</w:t>
      </w:r>
      <w:r>
        <w:rPr>
          <w:rFonts w:hint="eastAsia" w:ascii="仿宋" w:hAnsi="仿宋" w:eastAsia="仿宋" w:cs="仿宋"/>
          <w:kern w:val="0"/>
          <w:sz w:val="32"/>
          <w:szCs w:val="32"/>
        </w:rPr>
        <w:t>年。对有效期内的省级工法，其完成单位应注意技术跟踪，注重创新和发展，保持工法技术的先进性和适用性。超出有效期的省级工法仍具有先进性的，工法完成单位可重新申报。</w:t>
      </w:r>
    </w:p>
    <w:p w14:paraId="56A24BBF">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第十六条</w:t>
      </w:r>
      <w:r>
        <w:rPr>
          <w:rFonts w:ascii="仿宋" w:hAnsi="仿宋" w:eastAsia="仿宋" w:cs="仿宋"/>
          <w:b/>
          <w:bCs/>
          <w:kern w:val="0"/>
          <w:sz w:val="32"/>
          <w:szCs w:val="32"/>
        </w:rPr>
        <w:t xml:space="preserve">  </w:t>
      </w:r>
      <w:r>
        <w:rPr>
          <w:rFonts w:hint="eastAsia" w:ascii="仿宋" w:hAnsi="仿宋" w:eastAsia="仿宋" w:cs="仿宋"/>
          <w:kern w:val="0"/>
          <w:sz w:val="32"/>
          <w:szCs w:val="32"/>
        </w:rPr>
        <w:t>工法应受到知识产权保护。获得省级工法证书的单位为该工法的所有权人。工法所有权人可根据国家有关法律法规的规定有偿转让工法使用权，但工法完成单位、主要完成人员不得变更。未经工法所有权人同意，任何单位和个人不得擅自公开工法的关键技术内容。</w:t>
      </w:r>
    </w:p>
    <w:p w14:paraId="399E60D3">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第十七条</w:t>
      </w:r>
      <w:r>
        <w:rPr>
          <w:rFonts w:ascii="仿宋" w:hAnsi="仿宋" w:eastAsia="仿宋" w:cs="仿宋"/>
          <w:b/>
          <w:bCs/>
          <w:kern w:val="0"/>
          <w:sz w:val="32"/>
          <w:szCs w:val="32"/>
        </w:rPr>
        <w:t xml:space="preserve">  </w:t>
      </w:r>
      <w:r>
        <w:rPr>
          <w:rFonts w:hint="eastAsia" w:ascii="仿宋" w:hAnsi="仿宋" w:eastAsia="仿宋" w:cs="仿宋"/>
          <w:kern w:val="0"/>
          <w:sz w:val="32"/>
          <w:szCs w:val="32"/>
        </w:rPr>
        <w:t>鼓励企业采用新技术、新工艺、新材料、新设备，加快技术积累和科技成果转化。鼓励符合专利法、科学技术奖励规定条件的工法及其关键技术申请专利和申报科学技术发明、进步奖。</w:t>
      </w:r>
      <w:r>
        <w:rPr>
          <w:rFonts w:ascii="仿宋" w:hAnsi="仿宋" w:eastAsia="仿宋" w:cs="Times New Roman"/>
          <w:kern w:val="0"/>
          <w:sz w:val="32"/>
          <w:szCs w:val="32"/>
        </w:rPr>
        <w:t>  </w:t>
      </w:r>
    </w:p>
    <w:p w14:paraId="5B2C3A9F">
      <w:pPr>
        <w:spacing w:line="64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第十八条</w:t>
      </w:r>
      <w:r>
        <w:rPr>
          <w:rFonts w:ascii="仿宋" w:hAnsi="仿宋" w:eastAsia="仿宋" w:cs="仿宋"/>
          <w:b/>
          <w:bCs/>
          <w:kern w:val="0"/>
          <w:sz w:val="32"/>
          <w:szCs w:val="32"/>
        </w:rPr>
        <w:t xml:space="preserve">  </w:t>
      </w:r>
      <w:r>
        <w:rPr>
          <w:rFonts w:hint="eastAsia" w:ascii="仿宋" w:hAnsi="仿宋" w:eastAsia="仿宋" w:cs="仿宋"/>
          <w:kern w:val="0"/>
          <w:sz w:val="32"/>
          <w:szCs w:val="32"/>
        </w:rPr>
        <w:t>鼓励企业积极开发和推广应用工法，积极推动将技术领先、应用广泛、绿色环保、效益显著的工法纳入相关的国家标准、行业标准和地方标准。</w:t>
      </w:r>
    </w:p>
    <w:p w14:paraId="6F68AC3D">
      <w:pPr>
        <w:spacing w:line="640" w:lineRule="exact"/>
        <w:jc w:val="center"/>
        <w:rPr>
          <w:rFonts w:ascii="黑体" w:hAnsi="黑体" w:eastAsia="黑体" w:cs="Times New Roman"/>
          <w:sz w:val="32"/>
          <w:szCs w:val="32"/>
        </w:rPr>
      </w:pPr>
    </w:p>
    <w:p w14:paraId="4C36A03D">
      <w:pPr>
        <w:spacing w:line="640" w:lineRule="exact"/>
        <w:jc w:val="center"/>
        <w:rPr>
          <w:rFonts w:ascii="黑体" w:hAnsi="黑体" w:eastAsia="黑体" w:cs="Times New Roman"/>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其</w:t>
      </w:r>
      <w:r>
        <w:rPr>
          <w:rFonts w:ascii="黑体" w:hAnsi="黑体" w:eastAsia="黑体" w:cs="黑体"/>
          <w:sz w:val="32"/>
          <w:szCs w:val="32"/>
        </w:rPr>
        <w:t xml:space="preserve">  </w:t>
      </w:r>
      <w:r>
        <w:rPr>
          <w:rFonts w:hint="eastAsia" w:ascii="黑体" w:hAnsi="黑体" w:eastAsia="黑体" w:cs="黑体"/>
          <w:sz w:val="32"/>
          <w:szCs w:val="32"/>
        </w:rPr>
        <w:t>他</w:t>
      </w:r>
    </w:p>
    <w:p w14:paraId="08C12850">
      <w:pPr>
        <w:spacing w:line="640" w:lineRule="exact"/>
        <w:ind w:firstLine="643" w:firstLineChars="200"/>
        <w:rPr>
          <w:rFonts w:ascii="仿宋" w:hAnsi="仿宋" w:eastAsia="仿宋" w:cs="Times New Roman"/>
          <w:kern w:val="0"/>
          <w:sz w:val="32"/>
          <w:szCs w:val="32"/>
        </w:rPr>
      </w:pPr>
      <w:r>
        <w:rPr>
          <w:rFonts w:hint="eastAsia" w:ascii="仿宋" w:hAnsi="仿宋" w:eastAsia="仿宋" w:cs="仿宋"/>
          <w:b/>
          <w:bCs/>
          <w:kern w:val="0"/>
          <w:sz w:val="32"/>
          <w:szCs w:val="32"/>
        </w:rPr>
        <w:t>第十九条</w:t>
      </w:r>
      <w:r>
        <w:rPr>
          <w:rFonts w:ascii="仿宋" w:hAnsi="仿宋" w:eastAsia="仿宋" w:cs="仿宋"/>
          <w:b/>
          <w:bCs/>
          <w:kern w:val="0"/>
          <w:sz w:val="32"/>
          <w:szCs w:val="32"/>
        </w:rPr>
        <w:t xml:space="preserve"> </w:t>
      </w:r>
      <w:r>
        <w:rPr>
          <w:rFonts w:ascii="仿宋" w:hAnsi="仿宋" w:eastAsia="仿宋" w:cs="仿宋"/>
          <w:kern w:val="0"/>
          <w:sz w:val="32"/>
          <w:szCs w:val="32"/>
        </w:rPr>
        <w:t xml:space="preserve"> </w:t>
      </w:r>
      <w:r>
        <w:rPr>
          <w:rFonts w:hint="eastAsia" w:ascii="仿宋" w:hAnsi="仿宋" w:eastAsia="仿宋" w:cs="仿宋"/>
          <w:kern w:val="0"/>
          <w:sz w:val="32"/>
          <w:szCs w:val="32"/>
        </w:rPr>
        <w:t>企业应对开发和推广应用工法有突出贡献的个人给予表彰和奖励。</w:t>
      </w:r>
    </w:p>
    <w:p w14:paraId="41A5F2DA">
      <w:pPr>
        <w:spacing w:line="640" w:lineRule="exact"/>
        <w:ind w:firstLine="643" w:firstLineChars="200"/>
        <w:rPr>
          <w:rFonts w:ascii="仿宋" w:hAnsi="仿宋" w:eastAsia="仿宋" w:cs="Times New Roman"/>
          <w:kern w:val="0"/>
          <w:sz w:val="32"/>
          <w:szCs w:val="32"/>
        </w:rPr>
      </w:pPr>
      <w:r>
        <w:rPr>
          <w:rFonts w:hint="eastAsia" w:ascii="仿宋" w:hAnsi="仿宋" w:eastAsia="仿宋" w:cs="仿宋"/>
          <w:b/>
          <w:bCs/>
          <w:kern w:val="0"/>
          <w:sz w:val="32"/>
          <w:szCs w:val="32"/>
        </w:rPr>
        <w:t>第二十条</w:t>
      </w:r>
      <w:r>
        <w:rPr>
          <w:rFonts w:ascii="仿宋" w:hAnsi="仿宋" w:eastAsia="仿宋" w:cs="仿宋"/>
          <w:b/>
          <w:bCs/>
          <w:kern w:val="0"/>
          <w:sz w:val="32"/>
          <w:szCs w:val="32"/>
        </w:rPr>
        <w:t xml:space="preserve">  </w:t>
      </w:r>
      <w:r>
        <w:rPr>
          <w:rFonts w:hint="eastAsia" w:ascii="仿宋" w:hAnsi="仿宋" w:eastAsia="仿宋" w:cs="仿宋"/>
          <w:kern w:val="0"/>
          <w:sz w:val="32"/>
          <w:szCs w:val="32"/>
        </w:rPr>
        <w:t>企业提供虚假材料申报省级工法的或以剽窃作假等欺骗手段获得省级工法的，撤销其省级工法称号，</w:t>
      </w:r>
      <w:r>
        <w:rPr>
          <w:rFonts w:ascii="仿宋" w:hAnsi="仿宋" w:eastAsia="仿宋" w:cs="仿宋"/>
          <w:kern w:val="0"/>
          <w:sz w:val="32"/>
          <w:szCs w:val="32"/>
        </w:rPr>
        <w:t>3</w:t>
      </w:r>
      <w:r>
        <w:rPr>
          <w:rFonts w:hint="eastAsia" w:ascii="仿宋" w:hAnsi="仿宋" w:eastAsia="仿宋" w:cs="仿宋"/>
          <w:kern w:val="0"/>
          <w:sz w:val="32"/>
          <w:szCs w:val="32"/>
        </w:rPr>
        <w:t>年内不受理其申报省级工法。</w:t>
      </w:r>
    </w:p>
    <w:p w14:paraId="2C26CBC1">
      <w:pPr>
        <w:spacing w:line="640" w:lineRule="exact"/>
        <w:ind w:firstLine="643" w:firstLineChars="200"/>
        <w:rPr>
          <w:rFonts w:hint="eastAsia" w:ascii="仿宋" w:hAnsi="仿宋" w:eastAsia="仿宋" w:cs="仿宋"/>
          <w:kern w:val="0"/>
          <w:sz w:val="32"/>
          <w:szCs w:val="32"/>
        </w:rPr>
      </w:pPr>
      <w:r>
        <w:rPr>
          <w:rFonts w:hint="eastAsia" w:ascii="仿宋" w:hAnsi="仿宋" w:eastAsia="仿宋" w:cs="仿宋"/>
          <w:b/>
          <w:bCs/>
          <w:kern w:val="0"/>
          <w:sz w:val="32"/>
          <w:szCs w:val="32"/>
        </w:rPr>
        <w:t>第二十一条</w:t>
      </w:r>
      <w:r>
        <w:rPr>
          <w:rFonts w:ascii="仿宋" w:hAnsi="仿宋" w:eastAsia="仿宋" w:cs="仿宋"/>
          <w:b/>
          <w:bCs/>
          <w:kern w:val="0"/>
          <w:sz w:val="32"/>
          <w:szCs w:val="32"/>
        </w:rPr>
        <w:t xml:space="preserve">  </w:t>
      </w:r>
      <w:r>
        <w:rPr>
          <w:rFonts w:hint="eastAsia" w:ascii="仿宋" w:hAnsi="仿宋" w:eastAsia="仿宋" w:cs="仿宋"/>
          <w:kern w:val="0"/>
          <w:sz w:val="32"/>
          <w:szCs w:val="32"/>
        </w:rPr>
        <w:t>评审专家存在徇私舞弊、违反回避制度和保密纪律等行为的，取消省级工法评审专家资格。</w:t>
      </w:r>
    </w:p>
    <w:p w14:paraId="5B28F798">
      <w:pPr>
        <w:spacing w:line="640" w:lineRule="exact"/>
        <w:ind w:firstLine="643" w:firstLineChars="200"/>
        <w:rPr>
          <w:rFonts w:ascii="仿宋" w:hAnsi="仿宋" w:eastAsia="仿宋" w:cs="仿宋"/>
          <w:sz w:val="31"/>
          <w:szCs w:val="31"/>
          <w:shd w:val="clear" w:color="auto" w:fill="FFFFFF"/>
        </w:rPr>
      </w:pPr>
      <w:r>
        <w:rPr>
          <w:rFonts w:hint="eastAsia" w:ascii="仿宋" w:hAnsi="仿宋" w:eastAsia="仿宋" w:cs="仿宋"/>
          <w:b/>
          <w:bCs/>
          <w:sz w:val="32"/>
          <w:szCs w:val="32"/>
        </w:rPr>
        <w:t>第二十二条</w:t>
      </w:r>
      <w:r>
        <w:rPr>
          <w:rFonts w:ascii="仿宋" w:hAnsi="仿宋" w:eastAsia="仿宋" w:cs="仿宋"/>
          <w:b/>
          <w:bCs/>
          <w:sz w:val="32"/>
          <w:szCs w:val="32"/>
        </w:rPr>
        <w:t xml:space="preserve">  </w:t>
      </w:r>
      <w:r>
        <w:rPr>
          <w:rFonts w:hint="eastAsia" w:ascii="仿宋" w:hAnsi="仿宋" w:eastAsia="仿宋" w:cs="仿宋"/>
          <w:sz w:val="32"/>
          <w:szCs w:val="32"/>
        </w:rPr>
        <w:t>本办法自发布之日起施行。</w:t>
      </w:r>
    </w:p>
    <w:p w14:paraId="33913132">
      <w:pPr>
        <w:rPr>
          <w:rFonts w:ascii="Times New Roman" w:hAnsi="Times New Roman" w:eastAsia="宋体" w:cs="Times New Roman"/>
        </w:rPr>
      </w:pPr>
    </w:p>
    <w:p w14:paraId="20818D14">
      <w:pPr>
        <w:rPr>
          <w:rFonts w:hint="default" w:ascii="Times New Roman" w:hAnsi="Times New Roman" w:eastAsia="宋体" w:cs="Times New Roman"/>
          <w:lang w:val="en-US" w:eastAsia="zh-CN"/>
        </w:rPr>
      </w:pPr>
    </w:p>
    <w:p w14:paraId="57404170">
      <w:pPr>
        <w:rPr>
          <w:rFonts w:hint="eastAsia" w:ascii="仿宋" w:hAnsi="仿宋" w:eastAsia="仿宋" w:cs="仿宋"/>
          <w:sz w:val="24"/>
          <w:szCs w:val="24"/>
          <w:lang w:val="en-US" w:eastAsia="zh-CN"/>
        </w:rPr>
      </w:pPr>
    </w:p>
    <w:p w14:paraId="26E3DF37">
      <w:bookmarkStart w:id="0" w:name="_GoBack"/>
      <w:bookmarkEnd w:id="0"/>
    </w:p>
    <w:sectPr>
      <w:headerReference r:id="rId3" w:type="default"/>
      <w:footerReference r:id="rId4" w:type="default"/>
      <w:footerReference r:id="rId5" w:type="even"/>
      <w:pgSz w:w="11906" w:h="16838"/>
      <w:pgMar w:top="1644" w:right="1644" w:bottom="1644" w:left="164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83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79A487">
                          <w:pPr>
                            <w:pStyle w:val="3"/>
                          </w:pPr>
                          <w:r>
                            <w:fldChar w:fldCharType="begin"/>
                          </w:r>
                          <w:r>
                            <w:instrText xml:space="preserve"> PAGE  \* MERGEFORMAT </w:instrText>
                          </w:r>
                          <w:r>
                            <w:fldChar w:fldCharType="separate"/>
                          </w:r>
                          <w:r>
                            <w:t>- 7 -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0B79A487">
                    <w:pPr>
                      <w:pStyle w:val="3"/>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8536">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DCC82D">
                          <w:pPr>
                            <w:pStyle w:val="3"/>
                          </w:pPr>
                          <w:r>
                            <w:fldChar w:fldCharType="begin"/>
                          </w:r>
                          <w:r>
                            <w:instrText xml:space="preserve"> PAGE  \* MERGEFORMAT </w:instrText>
                          </w:r>
                          <w:r>
                            <w:fldChar w:fldCharType="separate"/>
                          </w:r>
                          <w: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27DCC82D">
                    <w:pPr>
                      <w:pStyle w:val="3"/>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C7E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62492"/>
    <w:rsid w:val="4C8D5074"/>
    <w:rsid w:val="6E154EA9"/>
    <w:rsid w:val="7DC6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2026-02-05T01:26:00Z</dcterms:created>
  <dc:creator>SDXZ</dc:creator>
  <cp:lastModifiedBy>SDXZ</cp:lastModifiedBy>
  <dcterms:modified xsi:type="dcterms:W3CDTF">2026-02-05T01:27:18Z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7E075C46F55E48A3B481844B4C88B410_11</vt:lpwstr>
  </property>
  <property fmtid="{D5CDD505-2E9C-101B-9397-08002B2CF9AE}" pid="4" name="KSOTemplateDocerSaveRecord">
    <vt:lpwstr>eyJoZGlkIjoiMjEzNmU2ZDFiZGZiOGE4NzIyYmU1NjdmNTlhZTM4OTUiLCJ1c2VySWQiOiIyMzk4Mzc1ODUifQ==</vt:lpwstr>
  </property>
</Properties>
</file>